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B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Style w:val="8"/>
          <w:b/>
          <w:sz w:val="22"/>
          <w:szCs w:val="22"/>
        </w:rPr>
      </w:pPr>
      <w:r>
        <w:rPr>
          <w:rStyle w:val="8"/>
          <w:rFonts w:hint="default"/>
          <w:b/>
          <w:sz w:val="22"/>
          <w:szCs w:val="22"/>
          <w:lang w:val="en-US" w:eastAsia="zh-CN"/>
        </w:rPr>
        <w:t>Effect of number and area of view-fields on the measurement accuracy of hair follicle density in goats (</w:t>
      </w:r>
      <w:r>
        <w:rPr>
          <w:rStyle w:val="8"/>
          <w:rFonts w:hint="default" w:ascii="Times New Roman Bold Italic" w:hAnsi="Times New Roman Bold Italic" w:cs="Times New Roman Bold Italic"/>
          <w:b/>
          <w:i/>
          <w:iCs/>
          <w:sz w:val="22"/>
          <w:szCs w:val="22"/>
          <w:lang w:val="en-US" w:eastAsia="zh-CN"/>
        </w:rPr>
        <w:t>Capra hircus</w:t>
      </w:r>
      <w:r>
        <w:rPr>
          <w:rStyle w:val="8"/>
          <w:rFonts w:hint="default"/>
          <w:b/>
          <w:sz w:val="22"/>
          <w:szCs w:val="22"/>
          <w:lang w:val="en-US" w:eastAsia="zh-CN"/>
        </w:rPr>
        <w:t>)</w:t>
      </w:r>
    </w:p>
    <w:p w14:paraId="3468B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Times New Roman" w:hAnsi="Times New Roman"/>
          <w:i/>
          <w:sz w:val="22"/>
          <w:szCs w:val="22"/>
        </w:rPr>
      </w:pPr>
      <w:r>
        <w:rPr>
          <w:rFonts w:hint="default" w:ascii="Times New Roman" w:hAnsi="Times New Roman"/>
          <w:i w:val="0"/>
          <w:iCs/>
          <w:sz w:val="22"/>
          <w:szCs w:val="22"/>
          <w:lang w:val="en-US" w:eastAsia="zh-CN"/>
        </w:rPr>
        <w:t>Jipan Zhang</w:t>
      </w:r>
      <w:r>
        <w:rPr>
          <w:rFonts w:hint="default" w:ascii="Times New Roman" w:hAnsi="Times New Roman"/>
          <w:i w:val="0"/>
          <w:iCs/>
          <w:sz w:val="22"/>
          <w:szCs w:val="22"/>
          <w:vertAlign w:val="superscript"/>
          <w:lang w:val="en-US" w:eastAsia="zh-CN"/>
        </w:rPr>
        <w:t>1</w:t>
      </w:r>
      <w:r>
        <w:rPr>
          <w:rFonts w:hint="eastAsia" w:ascii="Times New Roman" w:hAnsi="Times New Roman"/>
          <w:i w:val="0"/>
          <w:iCs/>
          <w:sz w:val="22"/>
          <w:szCs w:val="22"/>
          <w:vertAlign w:val="superscript"/>
          <w:lang w:val="en-US" w:eastAsia="zh-CN"/>
        </w:rPr>
        <w:t>,2,3</w:t>
      </w:r>
      <w:r>
        <w:rPr>
          <w:rFonts w:hint="default" w:ascii="Times New Roman" w:hAnsi="Times New Roman"/>
          <w:i w:val="0"/>
          <w:iCs/>
          <w:sz w:val="22"/>
          <w:szCs w:val="22"/>
          <w:lang w:val="en-US" w:eastAsia="zh-CN"/>
        </w:rPr>
        <w:t>, Chengchen Deng</w:t>
      </w:r>
      <w:r>
        <w:rPr>
          <w:rFonts w:hint="eastAsia" w:ascii="Times New Roman" w:hAnsi="Times New Roman"/>
          <w:i w:val="0"/>
          <w:iCs/>
          <w:sz w:val="22"/>
          <w:szCs w:val="22"/>
          <w:vertAlign w:val="superscript"/>
          <w:lang w:val="en-US" w:eastAsia="zh-CN"/>
        </w:rPr>
        <w:t>1,4</w:t>
      </w:r>
      <w:r>
        <w:rPr>
          <w:rFonts w:hint="default" w:ascii="Times New Roman" w:hAnsi="Times New Roman"/>
          <w:i w:val="0"/>
          <w:iCs/>
          <w:sz w:val="22"/>
          <w:szCs w:val="22"/>
          <w:lang w:val="en-US" w:eastAsia="zh-CN"/>
        </w:rPr>
        <w:t>, Yongju Zhao</w:t>
      </w:r>
      <w:r>
        <w:rPr>
          <w:rFonts w:hint="eastAsia" w:ascii="Times New Roman" w:hAnsi="Times New Roman"/>
          <w:i w:val="0"/>
          <w:iCs/>
          <w:sz w:val="22"/>
          <w:szCs w:val="22"/>
          <w:vertAlign w:val="superscript"/>
          <w:lang w:val="en-US" w:eastAsia="zh-CN"/>
        </w:rPr>
        <w:t>1,2,3</w:t>
      </w:r>
      <w:r>
        <w:rPr>
          <w:rFonts w:hint="default" w:ascii="Times New Roman" w:hAnsi="Times New Roman"/>
          <w:i w:val="0"/>
          <w:iCs/>
          <w:sz w:val="22"/>
          <w:szCs w:val="22"/>
          <w:vertAlign w:val="superscript"/>
          <w:lang w:val="en-US" w:eastAsia="zh-CN"/>
        </w:rPr>
        <w:t>*</w:t>
      </w:r>
    </w:p>
    <w:p w14:paraId="33F80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/>
          <w:b w:val="0"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/>
          <w:b w:val="0"/>
          <w:bCs/>
          <w:sz w:val="22"/>
          <w:szCs w:val="22"/>
          <w:vertAlign w:val="superscript"/>
          <w:lang w:val="en-US" w:eastAsia="zh-CN"/>
        </w:rPr>
        <w:t>1</w:t>
      </w:r>
      <w:r>
        <w:rPr>
          <w:rFonts w:hint="eastAsia" w:ascii="Times New Roman" w:hAnsi="Times New Roman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bCs/>
          <w:sz w:val="22"/>
          <w:szCs w:val="22"/>
          <w:lang w:val="en-US" w:eastAsia="zh-CN"/>
        </w:rPr>
        <w:t>College of Animal Science and Technology, Southwest University, Chongqing 400715, China</w:t>
      </w:r>
    </w:p>
    <w:p w14:paraId="1A77C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/>
          <w:b w:val="0"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/>
          <w:b w:val="0"/>
          <w:bCs/>
          <w:sz w:val="22"/>
          <w:szCs w:val="22"/>
          <w:vertAlign w:val="superscript"/>
          <w:lang w:val="en-US" w:eastAsia="zh-CN"/>
        </w:rPr>
        <w:t>2</w:t>
      </w:r>
      <w:r>
        <w:rPr>
          <w:rFonts w:hint="default" w:ascii="Times New Roman" w:hAnsi="Times New Roman"/>
          <w:b w:val="0"/>
          <w:bCs/>
          <w:sz w:val="22"/>
          <w:szCs w:val="22"/>
          <w:lang w:val="en-US" w:eastAsia="zh-CN"/>
        </w:rPr>
        <w:t xml:space="preserve"> Chongqing Key Laboratory of Herbivore Science, Chongqing 400715, China</w:t>
      </w:r>
    </w:p>
    <w:p w14:paraId="26B77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/>
          <w:b w:val="0"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/>
          <w:b w:val="0"/>
          <w:bCs/>
          <w:sz w:val="22"/>
          <w:szCs w:val="22"/>
          <w:vertAlign w:val="superscript"/>
          <w:lang w:val="en-US" w:eastAsia="zh-CN"/>
        </w:rPr>
        <w:t>3</w:t>
      </w:r>
      <w:r>
        <w:rPr>
          <w:rFonts w:hint="eastAsia" w:ascii="Times New Roman" w:hAnsi="Times New Roman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/>
          <w:b w:val="0"/>
          <w:bCs/>
          <w:sz w:val="22"/>
          <w:szCs w:val="22"/>
          <w:lang w:val="en-US" w:eastAsia="zh-CN"/>
        </w:rPr>
        <w:t>Chongqing Key Laboratory of Forage &amp; Herbivore, Chongqing 400715, China</w:t>
      </w:r>
    </w:p>
    <w:p w14:paraId="50B35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hint="eastAsia" w:ascii="Times New Roman" w:hAnsi="Times New Roman"/>
          <w:b w:val="0"/>
          <w:bCs/>
          <w:sz w:val="22"/>
          <w:szCs w:val="22"/>
          <w:vertAlign w:val="superscript"/>
          <w:lang w:val="en-US" w:eastAsia="zh-CN"/>
        </w:rPr>
        <w:t>4</w:t>
      </w:r>
      <w:r>
        <w:rPr>
          <w:rFonts w:hint="default" w:ascii="Times New Roman" w:hAnsi="Times New Roman"/>
          <w:b w:val="0"/>
          <w:bCs/>
          <w:sz w:val="22"/>
          <w:szCs w:val="22"/>
          <w:lang w:val="en-US" w:eastAsia="zh-CN"/>
        </w:rPr>
        <w:t xml:space="preserve"> College of Veterinary Medicine, Southwest University, Chongqing 400715, China</w:t>
      </w:r>
    </w:p>
    <w:p w14:paraId="7C24E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</w:pPr>
      <w:r>
        <w:rPr>
          <w:rFonts w:hint="default" w:ascii="Times New Roman Bold" w:hAnsi="Times New Roman Bold" w:cs="Times New Roman Bold"/>
          <w:b/>
          <w:bCs w:val="0"/>
          <w:sz w:val="22"/>
          <w:szCs w:val="22"/>
          <w:vertAlign w:val="superscript"/>
          <w:lang w:val="en-US" w:eastAsia="zh-CN"/>
        </w:rPr>
        <w:t>*</w:t>
      </w:r>
      <w:r>
        <w:rPr>
          <w:rFonts w:hint="default" w:ascii="Times New Roman Bold" w:hAnsi="Times New Roman Bold" w:cs="Times New Roman Bold"/>
          <w:b/>
          <w:bCs w:val="0"/>
          <w:sz w:val="22"/>
          <w:szCs w:val="22"/>
          <w:lang w:val="en-US" w:eastAsia="zh-CN"/>
        </w:rPr>
        <w:t xml:space="preserve"> Correspondence</w:t>
      </w:r>
      <w:r>
        <w:rPr>
          <w:rFonts w:hint="eastAsia" w:ascii="Times New Roman Bold" w:hAnsi="Times New Roman Bold" w:cs="Times New Roman Bold"/>
          <w:b/>
          <w:bCs w:val="0"/>
          <w:sz w:val="22"/>
          <w:szCs w:val="22"/>
          <w:lang w:val="en-US" w:eastAsia="zh-CN"/>
        </w:rPr>
        <w:t xml:space="preserve"> </w:t>
      </w:r>
      <w:r>
        <w:rPr>
          <w:rFonts w:hint="default" w:ascii="Times New Roman Bold" w:hAnsi="Times New Roman Bold" w:cs="Times New Roman Bold"/>
          <w:b/>
          <w:i w:val="0"/>
          <w:iCs/>
          <w:sz w:val="22"/>
          <w:szCs w:val="22"/>
          <w:lang w:val="en-US" w:eastAsia="zh-CN"/>
        </w:rPr>
        <w:t>E-mail:</w:t>
      </w:r>
      <w:r>
        <w:rPr>
          <w:rFonts w:hint="eastAsia" w:ascii="Times New Roman" w:hAnsi="Times New Roman"/>
          <w:i w:val="0"/>
          <w:i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>zyongju@163.com</w:t>
      </w:r>
    </w:p>
    <w:p w14:paraId="483AF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/>
          <w:b w:val="0"/>
          <w:bCs/>
          <w:sz w:val="22"/>
          <w:szCs w:val="22"/>
          <w:lang w:val="en-US" w:eastAsia="zh-CN"/>
        </w:rPr>
      </w:pPr>
      <w:r>
        <w:rPr>
          <w:rFonts w:hint="default" w:ascii="Times New Roman Bold" w:hAnsi="Times New Roman Bold" w:cs="Times New Roman Bold"/>
          <w:b/>
          <w:bCs w:val="0"/>
          <w:sz w:val="22"/>
          <w:szCs w:val="22"/>
          <w:lang w:val="en-US" w:eastAsia="zh-CN"/>
        </w:rPr>
        <w:t xml:space="preserve">Abstract </w:t>
      </w:r>
      <w:r>
        <w:rPr>
          <w:rFonts w:hint="eastAsia" w:ascii="Times New Roman" w:hAnsi="Times New Roman"/>
          <w:b w:val="0"/>
          <w:bCs/>
          <w:sz w:val="22"/>
          <w:szCs w:val="22"/>
          <w:lang w:val="en-US" w:eastAsia="zh-CN"/>
        </w:rPr>
        <w:t>(300 words max):</w:t>
      </w:r>
      <w:bookmarkStart w:id="0" w:name="_GoBack"/>
      <w:bookmarkEnd w:id="0"/>
    </w:p>
    <w:p w14:paraId="1AFCF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</w:pPr>
      <w:r>
        <w:rPr>
          <w:rFonts w:hint="default" w:ascii="Times New Roman Bold" w:hAnsi="Times New Roman Bold" w:eastAsia="宋体" w:cs="Times New Roman Bold"/>
          <w:b/>
          <w:bCs w:val="0"/>
          <w:sz w:val="22"/>
          <w:szCs w:val="22"/>
          <w:lang w:val="en-US" w:eastAsia="zh-CN"/>
        </w:rPr>
        <w:t>Introduction:</w:t>
      </w:r>
      <w:r>
        <w:rPr>
          <w:rFonts w:hint="default" w:ascii="Times New Roman Regular" w:hAnsi="Times New Roman Regular" w:cs="Times New Roman Regular"/>
          <w:b/>
          <w:bCs w:val="0"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Improving the hair follicle density (HFD) has long been a breeding goal, as it can directly affect the fiber yield of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animals, such as cashmere goats, sheep, rabbits and alpacas. Due to sample size and time limitations, the HFD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cannot be easily obtained from a large histological area. If the area is too small, the experimental sampling error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cannot be ignored. The number of view-fields (fieldN), the area of view-field (fieldS), and the total statistical area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(total SA, fieldN×fieldS) needed in the HFD examination have not been determined. Thus, we aimed to develop a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 xml:space="preserve">strategy to address this unclear topic. </w:t>
      </w:r>
    </w:p>
    <w:p w14:paraId="56F75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</w:pPr>
      <w:r>
        <w:rPr>
          <w:rFonts w:hint="default" w:ascii="Times New Roman Bold" w:hAnsi="Times New Roman Bold" w:eastAsia="宋体" w:cs="Times New Roman Bold"/>
          <w:b/>
          <w:bCs w:val="0"/>
          <w:sz w:val="22"/>
          <w:szCs w:val="22"/>
          <w:lang w:val="en-US" w:eastAsia="zh-CN"/>
        </w:rPr>
        <w:t xml:space="preserve">Materials and methods: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Goatskin was obtained as the sample, and paraffin sectioning and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hematoxylin-eosin staining were done. Images of each skin sample were captured, stitched, and clipped. All hair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follicles (HFs) were marked manually as color dots, and the background noise was removed.</w:t>
      </w:r>
    </w:p>
    <w:p w14:paraId="6F334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</w:pPr>
      <w:r>
        <w:rPr>
          <w:rFonts w:hint="default" w:ascii="Times New Roman Bold" w:hAnsi="Times New Roman Bold" w:eastAsia="宋体" w:cs="Times New Roman Bold"/>
          <w:b/>
          <w:bCs w:val="0"/>
          <w:sz w:val="22"/>
          <w:szCs w:val="22"/>
          <w:lang w:val="en-US" w:eastAsia="zh-CN"/>
        </w:rPr>
        <w:t xml:space="preserve">Results: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We acquired 52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clean images (50 mm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vertAlign w:val="superscript"/>
        </w:rPr>
        <w:t>2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 xml:space="preserve"> for each) and considered 10 types of fieldN, fieldN∈[1,10] and 14 types of fieldS, from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32.0 mm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vertAlign w:val="superscript"/>
        </w:rPr>
        <w:t>2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 xml:space="preserve"> to 0.10 mm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vertAlign w:val="superscript"/>
        </w:rPr>
        <w:t>2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. A Matlab-based algorithm/program, MinSA, was developed to calculate the mean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relative error (MRE) under different fieldN and fieldS. In fieldN = 1, the field area was 5.04 mm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vertAlign w:val="superscript"/>
        </w:rPr>
        <w:t>2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 xml:space="preserve"> where MRE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reached 5%, indicating that if the field area were less than 5.04 mm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vertAlign w:val="superscript"/>
        </w:rPr>
        <w:t>2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 xml:space="preserve"> (one field) for the HFD examination, the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MRE would be higher than 5%. As the fieldN increased from 2 to 10, the fieldS at 5% MRE gradually reduced, but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the total SA increased from 4.45 to 5.49 mm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vertAlign w:val="superscript"/>
        </w:rPr>
        <w:t>2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. This result demonstrates that using multiple view-field was not a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 xml:space="preserve">good choice. </w:t>
      </w:r>
    </w:p>
    <w:p w14:paraId="164EC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</w:pPr>
      <w:r>
        <w:rPr>
          <w:rFonts w:hint="default" w:ascii="Times New Roman Bold" w:hAnsi="Times New Roman Bold" w:eastAsia="宋体" w:cs="Times New Roman Bold"/>
          <w:b/>
          <w:bCs w:val="0"/>
          <w:sz w:val="22"/>
          <w:szCs w:val="22"/>
          <w:lang w:val="en-US" w:eastAsia="zh-CN"/>
        </w:rPr>
        <w:t xml:space="preserve">Conclusion: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In goats, 1–3 fields are recommended, and the total statistical area should be over 5 mm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vertAlign w:val="superscript"/>
        </w:rPr>
        <w:t>2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 xml:space="preserve"> of stained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/>
          <w:sz w:val="22"/>
          <w:szCs w:val="22"/>
        </w:rPr>
        <w:t>skin section. Furthermore, this algorithm could apply to other economic fur-bearing animals.</w:t>
      </w:r>
    </w:p>
    <w:p w14:paraId="2130E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default" w:ascii="Times New Roman Bold" w:hAnsi="Times New Roman Bold" w:eastAsia="宋体" w:cs="Times New Roman Bold"/>
          <w:b/>
          <w:bCs w:val="0"/>
          <w:sz w:val="22"/>
          <w:szCs w:val="22"/>
          <w:lang w:val="en-US" w:eastAsia="zh-CN"/>
        </w:rPr>
        <w:t xml:space="preserve">Keywords: </w:t>
      </w:r>
      <w:r>
        <w:rPr>
          <w:rFonts w:hint="eastAsia" w:ascii="Times New Roman" w:hAnsi="Times New Roman"/>
          <w:sz w:val="22"/>
          <w:szCs w:val="22"/>
        </w:rPr>
        <w:t>Skin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 xml:space="preserve">, </w:t>
      </w:r>
      <w:r>
        <w:rPr>
          <w:rFonts w:hint="eastAsia" w:ascii="Times New Roman" w:hAnsi="Times New Roman"/>
          <w:sz w:val="22"/>
          <w:szCs w:val="22"/>
        </w:rPr>
        <w:t>Histology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 xml:space="preserve">, </w:t>
      </w:r>
      <w:r>
        <w:rPr>
          <w:rFonts w:hint="eastAsia" w:ascii="Times New Roman" w:hAnsi="Times New Roman"/>
          <w:sz w:val="22"/>
          <w:szCs w:val="22"/>
        </w:rPr>
        <w:t>Image analysis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 xml:space="preserve">, </w:t>
      </w:r>
      <w:r>
        <w:rPr>
          <w:rFonts w:hint="eastAsia" w:ascii="Times New Roman" w:hAnsi="Times New Roman"/>
          <w:sz w:val="22"/>
          <w:szCs w:val="22"/>
        </w:rPr>
        <w:t>MinSA algorithm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 xml:space="preserve">, </w:t>
      </w:r>
      <w:r>
        <w:rPr>
          <w:rFonts w:hint="eastAsia" w:ascii="Times New Roman" w:hAnsi="Times New Roman"/>
          <w:sz w:val="22"/>
          <w:szCs w:val="22"/>
        </w:rPr>
        <w:t>Sampling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 xml:space="preserve">, </w:t>
      </w:r>
      <w:r>
        <w:rPr>
          <w:rFonts w:hint="eastAsia" w:ascii="Times New Roman" w:hAnsi="Times New Roman"/>
          <w:sz w:val="22"/>
          <w:szCs w:val="22"/>
        </w:rPr>
        <w:t>Wool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41"/>
    <w:rsid w:val="0004435B"/>
    <w:rsid w:val="00056E94"/>
    <w:rsid w:val="00075C9E"/>
    <w:rsid w:val="000D3B8D"/>
    <w:rsid w:val="000E5A22"/>
    <w:rsid w:val="00126040"/>
    <w:rsid w:val="00207912"/>
    <w:rsid w:val="002410C1"/>
    <w:rsid w:val="002E1DFC"/>
    <w:rsid w:val="0032559A"/>
    <w:rsid w:val="003637E0"/>
    <w:rsid w:val="00387664"/>
    <w:rsid w:val="00405762"/>
    <w:rsid w:val="004B0F4A"/>
    <w:rsid w:val="0051665D"/>
    <w:rsid w:val="0052030D"/>
    <w:rsid w:val="005A4F8B"/>
    <w:rsid w:val="005B4448"/>
    <w:rsid w:val="006416C9"/>
    <w:rsid w:val="006565B5"/>
    <w:rsid w:val="006767D4"/>
    <w:rsid w:val="006B185A"/>
    <w:rsid w:val="006B486D"/>
    <w:rsid w:val="006B7960"/>
    <w:rsid w:val="007836B2"/>
    <w:rsid w:val="0078572D"/>
    <w:rsid w:val="00847581"/>
    <w:rsid w:val="008826BB"/>
    <w:rsid w:val="008B0A8B"/>
    <w:rsid w:val="008D1DC6"/>
    <w:rsid w:val="009B215F"/>
    <w:rsid w:val="00A218ED"/>
    <w:rsid w:val="00B25AC6"/>
    <w:rsid w:val="00BA2213"/>
    <w:rsid w:val="00BF1EDE"/>
    <w:rsid w:val="00C74925"/>
    <w:rsid w:val="00D71A66"/>
    <w:rsid w:val="00E52F30"/>
    <w:rsid w:val="00EC06C7"/>
    <w:rsid w:val="00F00DD6"/>
    <w:rsid w:val="00F0495E"/>
    <w:rsid w:val="00F32FDE"/>
    <w:rsid w:val="00F93FE4"/>
    <w:rsid w:val="00F95C02"/>
    <w:rsid w:val="00FC3341"/>
    <w:rsid w:val="00FF405E"/>
    <w:rsid w:val="00FF66B2"/>
    <w:rsid w:val="3A6BF220"/>
    <w:rsid w:val="477FD727"/>
    <w:rsid w:val="5D7BCADB"/>
    <w:rsid w:val="7BEF4E11"/>
    <w:rsid w:val="7FEF29C9"/>
    <w:rsid w:val="D677EF29"/>
    <w:rsid w:val="DF789FE2"/>
    <w:rsid w:val="DFFF5435"/>
    <w:rsid w:val="EFEFF181"/>
    <w:rsid w:val="F7BE5FDE"/>
    <w:rsid w:val="F7FFD8F5"/>
    <w:rsid w:val="FBFF8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styleId="8">
    <w:name w:val="Emphasis"/>
    <w:qFormat/>
    <w:uiPriority w:val="0"/>
    <w:rPr>
      <w:rFonts w:hint="default" w:ascii="Times New Roman" w:hAnsi="Times New Roman" w:eastAsia="宋体" w:cs="Times New Roman"/>
    </w:rPr>
  </w:style>
  <w:style w:type="character" w:customStyle="1" w:styleId="9">
    <w:name w:val="批注框文本 字符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  <w:style w:type="paragraph" w:customStyle="1" w:styleId="13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" w:hAnsi="helvetica" w:eastAsia="helvetica" w:cs="helvetica"/>
      <w:kern w:val="0"/>
      <w:sz w:val="27"/>
      <w:szCs w:val="27"/>
      <w:lang w:val="en-US" w:eastAsia="zh-CN" w:bidi="ar"/>
    </w:rPr>
  </w:style>
  <w:style w:type="character" w:customStyle="1" w:styleId="14">
    <w:name w:val="s1"/>
    <w:basedOn w:val="7"/>
    <w:uiPriority w:val="0"/>
    <w:rPr>
      <w:rFonts w:hint="default" w:ascii="helvetica" w:hAnsi="helvetica" w:eastAsia="helvetica" w:cs="helvetica"/>
      <w:sz w:val="24"/>
      <w:szCs w:val="24"/>
    </w:rPr>
  </w:style>
  <w:style w:type="character" w:customStyle="1" w:styleId="15">
    <w:name w:val="s2"/>
    <w:basedOn w:val="7"/>
    <w:uiPriority w:val="0"/>
    <w:rPr>
      <w:rFonts w:hint="default" w:ascii="helvetica" w:hAnsi="helvetica" w:eastAsia="helvetica" w:cs="helvetica"/>
      <w:color w:val="2196D1"/>
      <w:sz w:val="14"/>
      <w:szCs w:val="14"/>
    </w:rPr>
  </w:style>
  <w:style w:type="character" w:customStyle="1" w:styleId="16">
    <w:name w:val="s3"/>
    <w:basedOn w:val="7"/>
    <w:uiPriority w:val="0"/>
    <w:rPr>
      <w:rFonts w:hint="default" w:ascii="helvetica" w:hAnsi="helvetica" w:eastAsia="helvetica" w:cs="helvetica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FMC Technologies</Company>
  <Pages>1</Pages>
  <Words>324</Words>
  <Characters>1849</Characters>
  <Lines>15</Lines>
  <Paragraphs>4</Paragraphs>
  <TotalTime>1</TotalTime>
  <ScaleCrop>false</ScaleCrop>
  <LinksUpToDate>false</LinksUpToDate>
  <CharactersWithSpaces>2169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2024-01-20T10:10:00Z</dcterms:created>
  <dc:creator>Chen, Peng Qiang</dc:creator>
  <cp:lastModifiedBy>ZhipengSun</cp:lastModifiedBy>
  <dcterms:modified xsi:type="dcterms:W3CDTF">2025-12-02T15:19:05Z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BDE18C0D977125B351912E69669A8C17_43</vt:lpwstr>
  </property>
</Properties>
</file>