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4612" w14:textId="7E5F8894" w:rsidR="00823363" w:rsidRPr="004C4A9E" w:rsidRDefault="00823363" w:rsidP="005F7FC5">
      <w:pPr>
        <w:jc w:val="center"/>
        <w:rPr>
          <w:rFonts w:ascii="Times New Roman" w:eastAsia="黑体" w:hAnsi="Times New Roman" w:cs="Times New Roman"/>
          <w:noProof/>
          <w:sz w:val="32"/>
          <w:szCs w:val="32"/>
        </w:rPr>
      </w:pPr>
      <w:r w:rsidRPr="004C4A9E">
        <w:rPr>
          <w:rFonts w:ascii="Times New Roman" w:eastAsia="黑体" w:hAnsi="Times New Roman" w:cs="Times New Roman"/>
          <w:noProof/>
          <w:sz w:val="32"/>
          <w:szCs w:val="32"/>
        </w:rPr>
        <w:t>沙门氏菌外膜蛋白相关基因缺失株的功能特性及毒力探究</w:t>
      </w:r>
      <w:r w:rsidR="00A23C37" w:rsidRPr="004C4A9E">
        <w:rPr>
          <w:rStyle w:val="aa"/>
          <w:rFonts w:ascii="Times New Roman" w:eastAsia="黑体" w:hAnsi="Times New Roman" w:cs="Times New Roman"/>
          <w:noProof/>
          <w:sz w:val="32"/>
          <w:szCs w:val="32"/>
        </w:rPr>
        <w:footnoteReference w:customMarkFollows="1" w:id="1"/>
        <w:t>*</w:t>
      </w:r>
    </w:p>
    <w:p w14:paraId="339ADCB5" w14:textId="2B4A510D" w:rsidR="00823363" w:rsidRPr="004C4A9E" w:rsidRDefault="00823363" w:rsidP="00823363">
      <w:pPr>
        <w:jc w:val="center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段</w:t>
      </w:r>
      <w:proofErr w:type="gramStart"/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世</w:t>
      </w:r>
      <w:proofErr w:type="gramEnd"/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宇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  <w:vertAlign w:val="superscript"/>
        </w:rPr>
        <w:t>1,2</w:t>
      </w:r>
      <w:r w:rsidR="003D13D3" w:rsidRPr="004C4A9E">
        <w:rPr>
          <w:rStyle w:val="aa"/>
          <w:rFonts w:ascii="Times New Roman" w:eastAsia="楷体" w:hAnsi="Times New Roman" w:cs="Times New Roman"/>
          <w:color w:val="000000"/>
          <w:sz w:val="24"/>
          <w:szCs w:val="24"/>
        </w:rPr>
        <w:footnoteReference w:customMarkFollows="1" w:id="2"/>
        <w:t>**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，杨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  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阳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  <w:vertAlign w:val="superscript"/>
        </w:rPr>
        <w:t>1,2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，</w:t>
      </w:r>
      <w:proofErr w:type="gramStart"/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潘</w:t>
      </w:r>
      <w:proofErr w:type="gramEnd"/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  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永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  <w:vertAlign w:val="superscript"/>
        </w:rPr>
        <w:t>1,2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，张家莉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  <w:vertAlign w:val="superscript"/>
        </w:rPr>
        <w:t>1,2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，杨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  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琦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  <w:vertAlign w:val="superscript"/>
        </w:rPr>
        <w:t>1,2,3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</w:rPr>
        <w:t>，周碧君</w:t>
      </w:r>
      <w:r w:rsidRPr="004C4A9E">
        <w:rPr>
          <w:rFonts w:ascii="Times New Roman" w:eastAsia="楷体" w:hAnsi="Times New Roman" w:cs="Times New Roman"/>
          <w:color w:val="000000"/>
          <w:sz w:val="24"/>
          <w:szCs w:val="24"/>
          <w:vertAlign w:val="superscript"/>
        </w:rPr>
        <w:t>1,2,3</w:t>
      </w:r>
      <w:r w:rsidR="003D13D3" w:rsidRPr="004C4A9E">
        <w:rPr>
          <w:rStyle w:val="aa"/>
          <w:rFonts w:ascii="Times New Roman" w:eastAsia="楷体" w:hAnsi="Times New Roman" w:cs="Times New Roman"/>
          <w:color w:val="000000"/>
          <w:sz w:val="24"/>
          <w:szCs w:val="24"/>
        </w:rPr>
        <w:footnoteReference w:customMarkFollows="1" w:id="3"/>
        <w:t>***</w:t>
      </w:r>
    </w:p>
    <w:p w14:paraId="5711E01F" w14:textId="77777777" w:rsidR="00823363" w:rsidRPr="004C4A9E" w:rsidRDefault="00823363" w:rsidP="00823363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="Times New Roman" w:eastAsia="楷体" w:hAnsi="Times New Roman" w:cs="Times New Roman"/>
          <w:color w:val="000000"/>
          <w:sz w:val="18"/>
          <w:szCs w:val="18"/>
        </w:rPr>
      </w:pP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>贵州大学动物科学学院，贵州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 xml:space="preserve"> 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>贵阳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 xml:space="preserve"> 550025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>；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 xml:space="preserve"> 2.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>贵州省动物疫病研究室，贵州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 xml:space="preserve"> 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>贵阳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 xml:space="preserve"> 550025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>；</w:t>
      </w:r>
    </w:p>
    <w:p w14:paraId="63CFF354" w14:textId="77777777" w:rsidR="00EE06B0" w:rsidRPr="004C4A9E" w:rsidRDefault="00823363" w:rsidP="00823363">
      <w:pPr>
        <w:jc w:val="center"/>
        <w:rPr>
          <w:rFonts w:ascii="Times New Roman" w:eastAsiaTheme="majorEastAsia" w:hAnsi="Times New Roman" w:cs="Times New Roman"/>
          <w:color w:val="000000"/>
          <w:sz w:val="18"/>
          <w:szCs w:val="18"/>
        </w:rPr>
      </w:pP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>贵州省动物疫病与兽医公共卫生重点实验室，贵州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 xml:space="preserve"> 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>贵阳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 xml:space="preserve"> 550025</w:t>
      </w:r>
      <w:r w:rsidRPr="004C4A9E">
        <w:rPr>
          <w:rFonts w:ascii="Times New Roman" w:eastAsia="楷体" w:hAnsi="Times New Roman" w:cs="Times New Roman"/>
          <w:color w:val="000000"/>
          <w:sz w:val="18"/>
          <w:szCs w:val="18"/>
        </w:rPr>
        <w:t>）</w:t>
      </w:r>
    </w:p>
    <w:p w14:paraId="3BB6D733" w14:textId="1B4FC08E" w:rsidR="00823363" w:rsidRPr="004C4A9E" w:rsidRDefault="00823363" w:rsidP="00823363">
      <w:pPr>
        <w:spacing w:line="360" w:lineRule="exact"/>
        <w:rPr>
          <w:rFonts w:ascii="Times New Roman" w:eastAsia="黑体" w:hAnsi="Times New Roman" w:cs="Times New Roman"/>
          <w:b/>
          <w:bCs/>
          <w:szCs w:val="21"/>
        </w:rPr>
      </w:pPr>
      <w:r w:rsidRPr="004C4A9E">
        <w:rPr>
          <w:rFonts w:ascii="Times New Roman" w:eastAsia="黑体" w:hAnsi="Times New Roman" w:cs="Times New Roman"/>
          <w:b/>
          <w:bCs/>
          <w:color w:val="000000"/>
          <w:szCs w:val="21"/>
          <w:lang w:bidi="en-US"/>
        </w:rPr>
        <w:t>研究目的</w:t>
      </w:r>
    </w:p>
    <w:p w14:paraId="706A98C4" w14:textId="77777777" w:rsidR="00823363" w:rsidRPr="004C4A9E" w:rsidRDefault="00823363" w:rsidP="005F7FC5">
      <w:pPr>
        <w:ind w:firstLineChars="200" w:firstLine="400"/>
        <w:rPr>
          <w:rFonts w:ascii="Times New Roman" w:hAnsi="Times New Roman" w:cs="Times New Roman"/>
          <w:bCs/>
          <w:kern w:val="0"/>
          <w:sz w:val="20"/>
          <w:szCs w:val="20"/>
        </w:rPr>
      </w:pP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沙门氏菌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病仍然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是一个重大的全球健康问题，对公共卫生和畜禽养殖业都构成威胁，世界沙门氏菌病的发病率呈上升趋势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[1]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，每年造成数百万人感染和死亡，沙门氏菌病主要为肠道感染，伴有呕吐、腹泻、高烧等症状，严重的甚至导致死亡</w:t>
      </w:r>
      <w:r w:rsidR="005F7FC5"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[2]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。外膜蛋白（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OMP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）是革兰阴性细菌外膜（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OM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）的主要蛋白质成分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这些蛋白质在细胞结构和形态、营养获取、定殖和入侵以及防止抗生素等外部威胁方面发挥着关键作用</w:t>
      </w:r>
      <w:r w:rsidR="005F7FC5"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 w:rsidR="00030768"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5F7FC5"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。</w:t>
      </w:r>
      <w:r w:rsidRPr="004C4A9E">
        <w:rPr>
          <w:rFonts w:ascii="Times New Roman" w:hAnsi="Times New Roman" w:cs="Times New Roman"/>
          <w:bCs/>
          <w:kern w:val="0"/>
          <w:sz w:val="20"/>
          <w:szCs w:val="20"/>
        </w:rPr>
        <w:t>本实验旨在探究沙门氏菌外膜蛋白基因</w:t>
      </w:r>
      <w:proofErr w:type="spellStart"/>
      <w:r w:rsidRPr="004C4A9E">
        <w:rPr>
          <w:rFonts w:ascii="Times New Roman" w:hAnsi="Times New Roman" w:cs="Times New Roman"/>
          <w:bCs/>
          <w:i/>
          <w:kern w:val="0"/>
          <w:sz w:val="20"/>
          <w:szCs w:val="20"/>
        </w:rPr>
        <w:t>fadL</w:t>
      </w:r>
      <w:proofErr w:type="spellEnd"/>
      <w:r w:rsidRPr="004C4A9E">
        <w:rPr>
          <w:rFonts w:ascii="Times New Roman" w:hAnsi="Times New Roman" w:cs="Times New Roman"/>
          <w:bCs/>
          <w:kern w:val="0"/>
          <w:sz w:val="20"/>
          <w:szCs w:val="20"/>
        </w:rPr>
        <w:t>、</w:t>
      </w:r>
      <w:proofErr w:type="spellStart"/>
      <w:r w:rsidRPr="004C4A9E">
        <w:rPr>
          <w:rFonts w:ascii="Times New Roman" w:hAnsi="Times New Roman" w:cs="Times New Roman"/>
          <w:bCs/>
          <w:i/>
          <w:kern w:val="0"/>
          <w:sz w:val="20"/>
          <w:szCs w:val="20"/>
        </w:rPr>
        <w:t>ompN</w:t>
      </w:r>
      <w:proofErr w:type="spellEnd"/>
      <w:r w:rsidRPr="004C4A9E">
        <w:rPr>
          <w:rFonts w:ascii="Times New Roman" w:hAnsi="Times New Roman" w:cs="Times New Roman"/>
          <w:bCs/>
          <w:kern w:val="0"/>
          <w:sz w:val="20"/>
          <w:szCs w:val="20"/>
        </w:rPr>
        <w:t>、</w:t>
      </w:r>
      <w:proofErr w:type="spellStart"/>
      <w:r w:rsidRPr="004C4A9E">
        <w:rPr>
          <w:rFonts w:ascii="Times New Roman" w:hAnsi="Times New Roman" w:cs="Times New Roman"/>
          <w:bCs/>
          <w:i/>
          <w:kern w:val="0"/>
          <w:sz w:val="20"/>
          <w:szCs w:val="20"/>
        </w:rPr>
        <w:t>ybfM</w:t>
      </w:r>
      <w:proofErr w:type="spellEnd"/>
      <w:r w:rsidRPr="004C4A9E">
        <w:rPr>
          <w:rFonts w:ascii="Times New Roman" w:hAnsi="Times New Roman" w:cs="Times New Roman"/>
          <w:bCs/>
          <w:i/>
          <w:kern w:val="0"/>
          <w:sz w:val="20"/>
          <w:szCs w:val="20"/>
        </w:rPr>
        <w:t xml:space="preserve"> </w:t>
      </w:r>
      <w:r w:rsidRPr="004C4A9E">
        <w:rPr>
          <w:rFonts w:ascii="Times New Roman" w:hAnsi="Times New Roman" w:cs="Times New Roman"/>
          <w:bCs/>
          <w:iCs/>
          <w:kern w:val="0"/>
          <w:sz w:val="20"/>
          <w:szCs w:val="20"/>
        </w:rPr>
        <w:t>以及</w:t>
      </w:r>
      <w:r w:rsidRPr="004C4A9E">
        <w:rPr>
          <w:rFonts w:ascii="Times New Roman" w:hAnsi="Times New Roman" w:cs="Times New Roman"/>
          <w:bCs/>
          <w:iCs/>
          <w:kern w:val="0"/>
          <w:sz w:val="20"/>
          <w:szCs w:val="20"/>
        </w:rPr>
        <w:t>sRNA</w:t>
      </w:r>
      <w:r w:rsidRPr="004C4A9E">
        <w:rPr>
          <w:rFonts w:ascii="Times New Roman" w:hAnsi="Times New Roman" w:cs="Times New Roman"/>
          <w:bCs/>
          <w:i/>
          <w:kern w:val="0"/>
          <w:sz w:val="20"/>
          <w:szCs w:val="20"/>
        </w:rPr>
        <w:t xml:space="preserve"> </w:t>
      </w:r>
      <w:proofErr w:type="spellStart"/>
      <w:r w:rsidRPr="004C4A9E">
        <w:rPr>
          <w:rFonts w:ascii="Times New Roman" w:hAnsi="Times New Roman" w:cs="Times New Roman"/>
          <w:bCs/>
          <w:iCs/>
          <w:kern w:val="0"/>
          <w:sz w:val="20"/>
          <w:szCs w:val="20"/>
        </w:rPr>
        <w:t>RybB</w:t>
      </w:r>
      <w:proofErr w:type="spellEnd"/>
      <w:r w:rsidRPr="004C4A9E">
        <w:rPr>
          <w:rFonts w:ascii="Times New Roman" w:hAnsi="Times New Roman" w:cs="Times New Roman"/>
          <w:bCs/>
          <w:kern w:val="0"/>
          <w:sz w:val="20"/>
          <w:szCs w:val="20"/>
        </w:rPr>
        <w:t xml:space="preserve"> </w:t>
      </w:r>
      <w:r w:rsidRPr="004C4A9E">
        <w:rPr>
          <w:rFonts w:ascii="Times New Roman" w:hAnsi="Times New Roman" w:cs="Times New Roman"/>
          <w:bCs/>
          <w:kern w:val="0"/>
          <w:sz w:val="20"/>
          <w:szCs w:val="20"/>
        </w:rPr>
        <w:t>和调控蛋白</w:t>
      </w:r>
      <w:proofErr w:type="spellStart"/>
      <w:r w:rsidRPr="004C4A9E">
        <w:rPr>
          <w:rFonts w:ascii="Times New Roman" w:hAnsi="Times New Roman" w:cs="Times New Roman"/>
          <w:bCs/>
          <w:kern w:val="0"/>
          <w:sz w:val="20"/>
          <w:szCs w:val="20"/>
        </w:rPr>
        <w:t>Hfq</w:t>
      </w:r>
      <w:proofErr w:type="spellEnd"/>
      <w:r w:rsidRPr="004C4A9E">
        <w:rPr>
          <w:rFonts w:ascii="Times New Roman" w:hAnsi="Times New Roman" w:cs="Times New Roman"/>
          <w:bCs/>
          <w:kern w:val="0"/>
          <w:sz w:val="20"/>
          <w:szCs w:val="20"/>
        </w:rPr>
        <w:t>与细菌致病性的关系。</w:t>
      </w:r>
    </w:p>
    <w:p w14:paraId="44737DDB" w14:textId="5D9AC194" w:rsidR="00823363" w:rsidRPr="004C4A9E" w:rsidRDefault="00823363" w:rsidP="00823363">
      <w:pPr>
        <w:spacing w:line="360" w:lineRule="exact"/>
        <w:rPr>
          <w:rFonts w:ascii="Times New Roman" w:eastAsia="黑体" w:hAnsi="Times New Roman" w:cs="Times New Roman"/>
          <w:b/>
          <w:bCs/>
          <w:color w:val="000000"/>
          <w:szCs w:val="21"/>
          <w:lang w:bidi="en-US"/>
        </w:rPr>
      </w:pPr>
      <w:r w:rsidRPr="004C4A9E">
        <w:rPr>
          <w:rFonts w:ascii="Times New Roman" w:eastAsia="黑体" w:hAnsi="Times New Roman" w:cs="Times New Roman"/>
          <w:b/>
          <w:bCs/>
          <w:color w:val="000000"/>
          <w:szCs w:val="21"/>
          <w:lang w:bidi="en-US"/>
        </w:rPr>
        <w:t>材料与方法</w:t>
      </w:r>
    </w:p>
    <w:p w14:paraId="1DB00EB5" w14:textId="77777777" w:rsidR="00823363" w:rsidRPr="004C4A9E" w:rsidRDefault="00823363" w:rsidP="005F7FC5">
      <w:pPr>
        <w:ind w:firstLineChars="200" w:firstLine="4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通过体外实验与体内实验测定了缺失菌株的部分生物学特性与毒力，探究了单一基因缺失对沙门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菌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致病性的影响。</w:t>
      </w:r>
    </w:p>
    <w:p w14:paraId="0630E88F" w14:textId="15013B3C" w:rsidR="00AC52F7" w:rsidRPr="004C4A9E" w:rsidRDefault="00AC52F7" w:rsidP="00AC52F7">
      <w:pPr>
        <w:spacing w:line="360" w:lineRule="exact"/>
        <w:rPr>
          <w:rFonts w:ascii="Times New Roman" w:eastAsia="黑体" w:hAnsi="Times New Roman" w:cs="Times New Roman"/>
          <w:b/>
          <w:bCs/>
          <w:color w:val="000000"/>
          <w:szCs w:val="21"/>
          <w:lang w:bidi="en-US"/>
        </w:rPr>
      </w:pPr>
      <w:r w:rsidRPr="004C4A9E">
        <w:rPr>
          <w:rFonts w:ascii="Times New Roman" w:eastAsia="黑体" w:hAnsi="Times New Roman" w:cs="Times New Roman"/>
          <w:b/>
          <w:bCs/>
          <w:color w:val="000000"/>
          <w:szCs w:val="21"/>
          <w:lang w:bidi="en-US"/>
        </w:rPr>
        <w:t>结果与讨论</w:t>
      </w:r>
    </w:p>
    <w:p w14:paraId="1D566F46" w14:textId="77777777" w:rsidR="00AC52F7" w:rsidRPr="004C4A9E" w:rsidRDefault="00AC52F7" w:rsidP="005F7FC5">
      <w:pPr>
        <w:ind w:firstLineChars="200" w:firstLine="4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缺失株相较于亲本野生型菌株，细菌的生长能力并没有受到显著影响。而小鼠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LD50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测定显示，鼠伤寒沙门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菌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LT2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感染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KM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系小鼠后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LD50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为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3.97×107 CFU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，外膜蛋白基因缺失株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ΔompN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、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ΔfadL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和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ΔybfM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LD50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分别为：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1.58×105 CFU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、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6.29×105 CFU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、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9.97×105 CFU, 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约为野生菌株的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251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倍、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63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倍和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40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倍。脾脏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载菌量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测定显示，在感染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6 h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后，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载菌量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出现升高，在感染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48 h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后，与野生菌株差异不显著。肝脏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载菌量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测定显示，感染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6 h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后，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载菌量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均有所提高，在感染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48 h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后，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ΔompN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、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ΔybfM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载菌量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呈下降趋势。在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sRNA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敲除菌株中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ΔrybB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，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LD50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为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9.97×107 CFU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，相对于野生菌株下降了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2.5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倍。脾脏、肝脏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载菌量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测定显示，敲除菌株与野生菌株差异不显著。而调控蛋白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Hfq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敲除组（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Δhfq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）及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rybB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hfq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双敲除组，小鼠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死亡数未超过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50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％，无法计算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LD50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，并且在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载菌量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测定实验中，肝脾上的细菌载量较于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LT2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出现下降趋势。</w:t>
      </w:r>
    </w:p>
    <w:p w14:paraId="17F7822F" w14:textId="77777777" w:rsidR="005F7FC5" w:rsidRPr="004C4A9E" w:rsidRDefault="005F7FC5" w:rsidP="005F7FC5">
      <w:pPr>
        <w:ind w:firstLineChars="200" w:firstLine="4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综上所述，本研究结果表明伴侣蛋白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Hfq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、</w:t>
      </w:r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sRNA 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RybB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缺失可降低鼠伤寒沙门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菌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毒力，同时脾脏系数有所增加，可尝试进行免疫，将其作为鼠伤寒沙门菌的减毒疫苗进一步研究；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ompN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、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ybfM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、</w:t>
      </w:r>
      <w:proofErr w:type="spell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fadL</w:t>
      </w:r>
      <w:proofErr w:type="spell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缺失导致鼠伤寒沙门</w:t>
      </w:r>
      <w:proofErr w:type="gramStart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菌</w:t>
      </w:r>
      <w:proofErr w:type="gramEnd"/>
      <w:r w:rsidRPr="004C4A9E">
        <w:rPr>
          <w:rFonts w:ascii="Times New Roman" w:hAnsi="Times New Roman" w:cs="Times New Roman"/>
          <w:color w:val="000000" w:themeColor="text1"/>
          <w:sz w:val="20"/>
          <w:szCs w:val="20"/>
        </w:rPr>
        <w:t>致病性增加，然而，这些外膜蛋白影响沙门氏菌致病性的机制未定义，还有待进一步探究。</w:t>
      </w:r>
    </w:p>
    <w:p w14:paraId="0D4A0FEE" w14:textId="1976A48E" w:rsidR="005F7FC5" w:rsidRPr="004C4A9E" w:rsidRDefault="005F7FC5" w:rsidP="005F7FC5">
      <w:pPr>
        <w:spacing w:line="360" w:lineRule="exact"/>
        <w:rPr>
          <w:rFonts w:ascii="Times New Roman" w:eastAsia="黑体" w:hAnsi="Times New Roman" w:cs="Times New Roman"/>
          <w:b/>
          <w:bCs/>
          <w:color w:val="000000"/>
          <w:szCs w:val="21"/>
          <w:lang w:bidi="en-US"/>
        </w:rPr>
      </w:pPr>
      <w:r w:rsidRPr="004C4A9E">
        <w:rPr>
          <w:rFonts w:ascii="Times New Roman" w:eastAsia="黑体" w:hAnsi="Times New Roman" w:cs="Times New Roman"/>
          <w:b/>
          <w:bCs/>
          <w:color w:val="000000"/>
          <w:szCs w:val="21"/>
          <w:lang w:bidi="en-US"/>
        </w:rPr>
        <w:t>参考文献</w:t>
      </w:r>
    </w:p>
    <w:p w14:paraId="6D51E28B" w14:textId="77777777" w:rsidR="00030768" w:rsidRPr="004C4A9E" w:rsidRDefault="00030768" w:rsidP="00030768">
      <w:pPr>
        <w:pStyle w:val="ab"/>
        <w:numPr>
          <w:ilvl w:val="0"/>
          <w:numId w:val="6"/>
        </w:numPr>
        <w:ind w:firstLineChars="0"/>
        <w:rPr>
          <w:color w:val="212121"/>
          <w:sz w:val="20"/>
          <w:szCs w:val="20"/>
          <w:shd w:val="clear" w:color="auto" w:fill="FFFFFF"/>
        </w:rPr>
      </w:pPr>
      <w:r w:rsidRPr="004C4A9E">
        <w:rPr>
          <w:color w:val="212121"/>
          <w:sz w:val="20"/>
          <w:szCs w:val="20"/>
          <w:shd w:val="clear" w:color="auto" w:fill="FFFFFF"/>
        </w:rPr>
        <w:t>Herrero-Fresno A, Olsen JE. Salmonella Typhimurium metabolism affects virulence in the host - A mini-review</w:t>
      </w:r>
      <w:r w:rsidRPr="004C4A9E">
        <w:rPr>
          <w:sz w:val="20"/>
          <w:szCs w:val="20"/>
        </w:rPr>
        <w:t>[J]</w:t>
      </w:r>
      <w:r w:rsidRPr="004C4A9E">
        <w:rPr>
          <w:color w:val="212121"/>
          <w:sz w:val="20"/>
          <w:szCs w:val="20"/>
          <w:shd w:val="clear" w:color="auto" w:fill="FFFFFF"/>
        </w:rPr>
        <w:t xml:space="preserve">. Food </w:t>
      </w:r>
      <w:proofErr w:type="spellStart"/>
      <w:r w:rsidRPr="004C4A9E">
        <w:rPr>
          <w:color w:val="212121"/>
          <w:sz w:val="20"/>
          <w:szCs w:val="20"/>
          <w:shd w:val="clear" w:color="auto" w:fill="FFFFFF"/>
        </w:rPr>
        <w:t>Microbiol</w:t>
      </w:r>
      <w:proofErr w:type="spellEnd"/>
      <w:r w:rsidRPr="004C4A9E">
        <w:rPr>
          <w:color w:val="212121"/>
          <w:sz w:val="20"/>
          <w:szCs w:val="20"/>
          <w:shd w:val="clear" w:color="auto" w:fill="FFFFFF"/>
        </w:rPr>
        <w:t xml:space="preserve">. 2018 </w:t>
      </w:r>
      <w:proofErr w:type="gramStart"/>
      <w:r w:rsidRPr="004C4A9E">
        <w:rPr>
          <w:color w:val="212121"/>
          <w:sz w:val="20"/>
          <w:szCs w:val="20"/>
          <w:shd w:val="clear" w:color="auto" w:fill="FFFFFF"/>
        </w:rPr>
        <w:t>May;71:98</w:t>
      </w:r>
      <w:proofErr w:type="gramEnd"/>
      <w:r w:rsidRPr="004C4A9E">
        <w:rPr>
          <w:color w:val="212121"/>
          <w:sz w:val="20"/>
          <w:szCs w:val="20"/>
          <w:shd w:val="clear" w:color="auto" w:fill="FFFFFF"/>
        </w:rPr>
        <w:t>-110.</w:t>
      </w:r>
    </w:p>
    <w:p w14:paraId="796CDA77" w14:textId="77777777" w:rsidR="00030768" w:rsidRPr="004C4A9E" w:rsidRDefault="00030768" w:rsidP="00030768">
      <w:pPr>
        <w:pStyle w:val="ab"/>
        <w:numPr>
          <w:ilvl w:val="0"/>
          <w:numId w:val="6"/>
        </w:numPr>
        <w:ind w:firstLineChars="0"/>
        <w:rPr>
          <w:color w:val="212121"/>
          <w:sz w:val="20"/>
          <w:szCs w:val="20"/>
          <w:shd w:val="clear" w:color="auto" w:fill="FFFFFF"/>
        </w:rPr>
      </w:pPr>
      <w:r w:rsidRPr="004C4A9E">
        <w:rPr>
          <w:color w:val="212121"/>
          <w:sz w:val="20"/>
          <w:szCs w:val="20"/>
          <w:shd w:val="clear" w:color="auto" w:fill="FFFFFF"/>
        </w:rPr>
        <w:t xml:space="preserve">Xu C, </w:t>
      </w:r>
      <w:proofErr w:type="spellStart"/>
      <w:r w:rsidRPr="004C4A9E">
        <w:rPr>
          <w:color w:val="212121"/>
          <w:sz w:val="20"/>
          <w:szCs w:val="20"/>
          <w:shd w:val="clear" w:color="auto" w:fill="FFFFFF"/>
        </w:rPr>
        <w:t>Soyfoo</w:t>
      </w:r>
      <w:proofErr w:type="spellEnd"/>
      <w:r w:rsidRPr="004C4A9E">
        <w:rPr>
          <w:color w:val="212121"/>
          <w:sz w:val="20"/>
          <w:szCs w:val="20"/>
          <w:shd w:val="clear" w:color="auto" w:fill="FFFFFF"/>
        </w:rPr>
        <w:t xml:space="preserve"> DM, Wu Y,</w:t>
      </w:r>
      <w:r w:rsidRPr="004C4A9E">
        <w:rPr>
          <w:i/>
          <w:iCs/>
          <w:color w:val="212121"/>
          <w:sz w:val="20"/>
          <w:szCs w:val="20"/>
          <w:shd w:val="clear" w:color="auto" w:fill="FFFFFF"/>
        </w:rPr>
        <w:t xml:space="preserve"> </w:t>
      </w:r>
      <w:r w:rsidRPr="004C4A9E">
        <w:rPr>
          <w:i/>
          <w:iCs/>
          <w:sz w:val="20"/>
          <w:szCs w:val="20"/>
          <w:shd w:val="clear" w:color="auto" w:fill="FFFFFF"/>
        </w:rPr>
        <w:t>et al</w:t>
      </w:r>
      <w:r w:rsidRPr="004C4A9E">
        <w:rPr>
          <w:i/>
          <w:iCs/>
          <w:color w:val="212121"/>
          <w:sz w:val="20"/>
          <w:szCs w:val="20"/>
          <w:shd w:val="clear" w:color="auto" w:fill="FFFFFF"/>
        </w:rPr>
        <w:t xml:space="preserve">. </w:t>
      </w:r>
      <w:r w:rsidRPr="004C4A9E">
        <w:rPr>
          <w:color w:val="212121"/>
          <w:sz w:val="20"/>
          <w:szCs w:val="20"/>
          <w:shd w:val="clear" w:color="auto" w:fill="FFFFFF"/>
        </w:rPr>
        <w:t>Virulence of Helicobacter pylori outer membrane proteins: an updated review</w:t>
      </w:r>
      <w:r w:rsidRPr="004C4A9E">
        <w:rPr>
          <w:sz w:val="20"/>
          <w:szCs w:val="20"/>
        </w:rPr>
        <w:t>[J]</w:t>
      </w:r>
      <w:r w:rsidRPr="004C4A9E">
        <w:rPr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4C4A9E">
        <w:rPr>
          <w:color w:val="212121"/>
          <w:sz w:val="20"/>
          <w:szCs w:val="20"/>
          <w:shd w:val="clear" w:color="auto" w:fill="FFFFFF"/>
        </w:rPr>
        <w:t>Eur</w:t>
      </w:r>
      <w:proofErr w:type="spellEnd"/>
      <w:r w:rsidRPr="004C4A9E">
        <w:rPr>
          <w:color w:val="212121"/>
          <w:sz w:val="20"/>
          <w:szCs w:val="20"/>
          <w:shd w:val="clear" w:color="auto" w:fill="FFFFFF"/>
        </w:rPr>
        <w:t xml:space="preserve"> J Clin </w:t>
      </w:r>
      <w:proofErr w:type="spellStart"/>
      <w:r w:rsidRPr="004C4A9E">
        <w:rPr>
          <w:color w:val="212121"/>
          <w:sz w:val="20"/>
          <w:szCs w:val="20"/>
          <w:shd w:val="clear" w:color="auto" w:fill="FFFFFF"/>
        </w:rPr>
        <w:t>Microbiol</w:t>
      </w:r>
      <w:proofErr w:type="spellEnd"/>
      <w:r w:rsidRPr="004C4A9E">
        <w:rPr>
          <w:color w:val="212121"/>
          <w:sz w:val="20"/>
          <w:szCs w:val="20"/>
          <w:shd w:val="clear" w:color="auto" w:fill="FFFFFF"/>
        </w:rPr>
        <w:t xml:space="preserve"> Infect Dis. 2020 Oct;39(10):1821-1830.</w:t>
      </w:r>
    </w:p>
    <w:p w14:paraId="6005FDB1" w14:textId="77777777" w:rsidR="00030768" w:rsidRPr="004C4A9E" w:rsidRDefault="00030768" w:rsidP="00030768">
      <w:pPr>
        <w:pStyle w:val="ab"/>
        <w:numPr>
          <w:ilvl w:val="0"/>
          <w:numId w:val="6"/>
        </w:numPr>
        <w:ind w:firstLineChars="0"/>
        <w:rPr>
          <w:color w:val="212121"/>
          <w:sz w:val="18"/>
          <w:szCs w:val="18"/>
          <w:shd w:val="clear" w:color="auto" w:fill="FFFFFF"/>
        </w:rPr>
      </w:pPr>
      <w:proofErr w:type="spellStart"/>
      <w:r w:rsidRPr="004C4A9E">
        <w:rPr>
          <w:color w:val="212121"/>
          <w:sz w:val="20"/>
          <w:szCs w:val="20"/>
          <w:shd w:val="clear" w:color="auto" w:fill="FFFFFF"/>
        </w:rPr>
        <w:t>Hébrard</w:t>
      </w:r>
      <w:proofErr w:type="spellEnd"/>
      <w:r w:rsidRPr="004C4A9E">
        <w:rPr>
          <w:color w:val="212121"/>
          <w:sz w:val="20"/>
          <w:szCs w:val="20"/>
          <w:shd w:val="clear" w:color="auto" w:fill="FFFFFF"/>
        </w:rPr>
        <w:t xml:space="preserve"> M, </w:t>
      </w:r>
      <w:proofErr w:type="spellStart"/>
      <w:r w:rsidRPr="004C4A9E">
        <w:rPr>
          <w:color w:val="212121"/>
          <w:sz w:val="20"/>
          <w:szCs w:val="20"/>
          <w:shd w:val="clear" w:color="auto" w:fill="FFFFFF"/>
        </w:rPr>
        <w:t>Kröger</w:t>
      </w:r>
      <w:proofErr w:type="spellEnd"/>
      <w:r w:rsidRPr="004C4A9E">
        <w:rPr>
          <w:color w:val="212121"/>
          <w:sz w:val="20"/>
          <w:szCs w:val="20"/>
          <w:shd w:val="clear" w:color="auto" w:fill="FFFFFF"/>
        </w:rPr>
        <w:t xml:space="preserve"> C, </w:t>
      </w:r>
      <w:proofErr w:type="spellStart"/>
      <w:r w:rsidRPr="004C4A9E">
        <w:rPr>
          <w:color w:val="212121"/>
          <w:sz w:val="20"/>
          <w:szCs w:val="20"/>
          <w:shd w:val="clear" w:color="auto" w:fill="FFFFFF"/>
        </w:rPr>
        <w:t>Srikumar</w:t>
      </w:r>
      <w:proofErr w:type="spellEnd"/>
      <w:r w:rsidRPr="004C4A9E">
        <w:rPr>
          <w:color w:val="212121"/>
          <w:sz w:val="20"/>
          <w:szCs w:val="20"/>
          <w:shd w:val="clear" w:color="auto" w:fill="FFFFFF"/>
        </w:rPr>
        <w:t xml:space="preserve"> S, </w:t>
      </w:r>
      <w:r w:rsidRPr="004C4A9E">
        <w:rPr>
          <w:sz w:val="20"/>
          <w:szCs w:val="20"/>
          <w:shd w:val="clear" w:color="auto" w:fill="FFFFFF"/>
        </w:rPr>
        <w:t>et al</w:t>
      </w:r>
      <w:r w:rsidRPr="004C4A9E">
        <w:rPr>
          <w:color w:val="212121"/>
          <w:sz w:val="20"/>
          <w:szCs w:val="20"/>
          <w:shd w:val="clear" w:color="auto" w:fill="FFFFFF"/>
        </w:rPr>
        <w:t>. sRNAs and the virulence of Salmonella enterica serovar Typhimurium</w:t>
      </w:r>
      <w:r w:rsidRPr="004C4A9E">
        <w:rPr>
          <w:sz w:val="20"/>
          <w:szCs w:val="20"/>
        </w:rPr>
        <w:t>[J]</w:t>
      </w:r>
      <w:r w:rsidRPr="004C4A9E">
        <w:rPr>
          <w:color w:val="212121"/>
          <w:sz w:val="20"/>
          <w:szCs w:val="20"/>
          <w:shd w:val="clear" w:color="auto" w:fill="FFFFFF"/>
        </w:rPr>
        <w:t>. RNA Biol. 2012 Apr;9(4):437-45.</w:t>
      </w:r>
    </w:p>
    <w:p w14:paraId="60E24FE2" w14:textId="77777777" w:rsidR="005F7FC5" w:rsidRPr="004C4A9E" w:rsidRDefault="005F7FC5" w:rsidP="00030768">
      <w:pPr>
        <w:rPr>
          <w:rFonts w:ascii="Times New Roman" w:hAnsi="Times New Roman" w:cs="Times New Roman"/>
          <w:color w:val="000000" w:themeColor="text1"/>
          <w:szCs w:val="21"/>
        </w:rPr>
      </w:pPr>
    </w:p>
    <w:sectPr w:rsidR="005F7FC5" w:rsidRPr="004C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CA62" w14:textId="77777777" w:rsidR="00B76721" w:rsidRDefault="00B76721" w:rsidP="005C0283">
      <w:r>
        <w:separator/>
      </w:r>
    </w:p>
  </w:endnote>
  <w:endnote w:type="continuationSeparator" w:id="0">
    <w:p w14:paraId="1B1CE6B5" w14:textId="77777777" w:rsidR="00B76721" w:rsidRDefault="00B76721" w:rsidP="005C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49D9" w14:textId="77777777" w:rsidR="00B76721" w:rsidRDefault="00B76721" w:rsidP="005C0283">
      <w:r>
        <w:separator/>
      </w:r>
    </w:p>
  </w:footnote>
  <w:footnote w:type="continuationSeparator" w:id="0">
    <w:p w14:paraId="652ABA17" w14:textId="77777777" w:rsidR="00B76721" w:rsidRDefault="00B76721" w:rsidP="005C0283">
      <w:r>
        <w:continuationSeparator/>
      </w:r>
    </w:p>
  </w:footnote>
  <w:footnote w:id="1">
    <w:p w14:paraId="098D461B" w14:textId="0BC73155" w:rsidR="003D13D3" w:rsidRDefault="00A23C37">
      <w:pPr>
        <w:pStyle w:val="a7"/>
        <w:rPr>
          <w:rFonts w:hint="eastAsia"/>
        </w:rPr>
      </w:pPr>
      <w:r>
        <w:rPr>
          <w:rStyle w:val="aa"/>
        </w:rPr>
        <w:t>*</w:t>
      </w:r>
      <w:r>
        <w:t xml:space="preserve"> </w:t>
      </w:r>
      <w:r w:rsidR="003D13D3">
        <w:rPr>
          <w:rFonts w:hint="eastAsia"/>
        </w:rPr>
        <w:t>基金项目：</w:t>
      </w:r>
    </w:p>
  </w:footnote>
  <w:footnote w:id="2">
    <w:p w14:paraId="73B4E86C" w14:textId="1D6ECDE8" w:rsidR="003D13D3" w:rsidRDefault="003D13D3">
      <w:pPr>
        <w:pStyle w:val="a7"/>
        <w:rPr>
          <w:rFonts w:hint="eastAsia"/>
        </w:rPr>
      </w:pPr>
      <w:r>
        <w:rPr>
          <w:rStyle w:val="aa"/>
        </w:rPr>
        <w:t>**</w:t>
      </w:r>
      <w:r>
        <w:t xml:space="preserve"> </w:t>
      </w:r>
      <w:r>
        <w:rPr>
          <w:rFonts w:hint="eastAsia"/>
        </w:rPr>
        <w:t>作者简介：</w:t>
      </w:r>
    </w:p>
  </w:footnote>
  <w:footnote w:id="3">
    <w:p w14:paraId="5D143C2F" w14:textId="7936250A" w:rsidR="003D13D3" w:rsidRDefault="003D13D3">
      <w:pPr>
        <w:pStyle w:val="a7"/>
        <w:rPr>
          <w:rFonts w:hint="eastAsia"/>
        </w:rPr>
      </w:pPr>
      <w:r>
        <w:rPr>
          <w:rStyle w:val="aa"/>
        </w:rPr>
        <w:t>***</w:t>
      </w:r>
      <w:r>
        <w:t xml:space="preserve"> </w:t>
      </w:r>
      <w:r>
        <w:rPr>
          <w:rFonts w:hint="eastAsia"/>
        </w:rPr>
        <w:t>通讯作者：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D9A787"/>
    <w:multiLevelType w:val="singleLevel"/>
    <w:tmpl w:val="E9D9A78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17D328FF"/>
    <w:multiLevelType w:val="multilevel"/>
    <w:tmpl w:val="23F8614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BC6697D"/>
    <w:multiLevelType w:val="hybridMultilevel"/>
    <w:tmpl w:val="6E4E38BA"/>
    <w:lvl w:ilvl="0" w:tplc="0B2ACA3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D31F03"/>
    <w:multiLevelType w:val="hybridMultilevel"/>
    <w:tmpl w:val="A1B8944A"/>
    <w:lvl w:ilvl="0" w:tplc="DBEEE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B17D39"/>
    <w:multiLevelType w:val="singleLevel"/>
    <w:tmpl w:val="63B17D39"/>
    <w:lvl w:ilvl="0">
      <w:start w:val="1"/>
      <w:numFmt w:val="decimal"/>
      <w:suff w:val="space"/>
      <w:lvlText w:val="（%1."/>
      <w:lvlJc w:val="left"/>
    </w:lvl>
  </w:abstractNum>
  <w:abstractNum w:abstractNumId="5" w15:restartNumberingAfterBreak="0">
    <w:nsid w:val="6D7F7DFF"/>
    <w:multiLevelType w:val="hybridMultilevel"/>
    <w:tmpl w:val="0CE278C6"/>
    <w:lvl w:ilvl="0" w:tplc="0B2ACA38">
      <w:start w:val="1"/>
      <w:numFmt w:val="decimal"/>
      <w:lvlText w:val="[%1]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417138119">
    <w:abstractNumId w:val="4"/>
  </w:num>
  <w:num w:numId="2" w16cid:durableId="1487168010">
    <w:abstractNumId w:val="0"/>
  </w:num>
  <w:num w:numId="3" w16cid:durableId="1680548313">
    <w:abstractNumId w:val="3"/>
  </w:num>
  <w:num w:numId="4" w16cid:durableId="603420467">
    <w:abstractNumId w:val="5"/>
  </w:num>
  <w:num w:numId="5" w16cid:durableId="231696502">
    <w:abstractNumId w:val="1"/>
  </w:num>
  <w:num w:numId="6" w16cid:durableId="1655723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D0"/>
    <w:rsid w:val="00030768"/>
    <w:rsid w:val="00190B55"/>
    <w:rsid w:val="003D13D3"/>
    <w:rsid w:val="004C4A9E"/>
    <w:rsid w:val="005C0283"/>
    <w:rsid w:val="005F7FC5"/>
    <w:rsid w:val="00823363"/>
    <w:rsid w:val="00A23C37"/>
    <w:rsid w:val="00AC52F7"/>
    <w:rsid w:val="00B76721"/>
    <w:rsid w:val="00BA3D90"/>
    <w:rsid w:val="00D218D0"/>
    <w:rsid w:val="00E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6A7BB"/>
  <w15:docId w15:val="{42C2DA1F-41FD-49BB-A404-C6BC3CC1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283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rsid w:val="005C0283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qFormat/>
    <w:rsid w:val="005C0283"/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5C0283"/>
    <w:rPr>
      <w:color w:val="0000FF" w:themeColor="hyperlink"/>
      <w:u w:val="single"/>
    </w:rPr>
  </w:style>
  <w:style w:type="character" w:styleId="aa">
    <w:name w:val="footnote reference"/>
    <w:basedOn w:val="a0"/>
    <w:uiPriority w:val="99"/>
    <w:semiHidden/>
    <w:unhideWhenUsed/>
    <w:qFormat/>
    <w:rsid w:val="005C0283"/>
    <w:rPr>
      <w:vertAlign w:val="superscript"/>
    </w:rPr>
  </w:style>
  <w:style w:type="paragraph" w:styleId="ab">
    <w:name w:val="List Paragraph"/>
    <w:basedOn w:val="a"/>
    <w:link w:val="ac"/>
    <w:uiPriority w:val="34"/>
    <w:qFormat/>
    <w:rsid w:val="005C028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c">
    <w:name w:val="列表段落 字符"/>
    <w:basedOn w:val="a0"/>
    <w:link w:val="ab"/>
    <w:uiPriority w:val="34"/>
    <w:qFormat/>
    <w:rsid w:val="005C028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3076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30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2289-865E-4382-B99B-79C9654F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 娟</cp:lastModifiedBy>
  <cp:revision>5</cp:revision>
  <dcterms:created xsi:type="dcterms:W3CDTF">2021-06-29T08:55:00Z</dcterms:created>
  <dcterms:modified xsi:type="dcterms:W3CDTF">2022-06-22T08:24:00Z</dcterms:modified>
</cp:coreProperties>
</file>